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6E99C7AB" w14:textId="77777777" w:rsidR="00EC5B1E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FD2DC9">
        <w:rPr>
          <w:rFonts w:ascii="Calibri" w:hAnsi="Calibri"/>
          <w:i/>
          <w:color w:val="000000" w:themeColor="text1"/>
        </w:rPr>
        <w:t>ASST. GEN</w:t>
      </w:r>
      <w:r w:rsidR="00A2410A">
        <w:rPr>
          <w:rFonts w:ascii="Calibri" w:hAnsi="Calibri"/>
          <w:i/>
          <w:color w:val="000000" w:themeColor="text1"/>
        </w:rPr>
        <w:t>.</w:t>
      </w:r>
      <w:r w:rsidR="00FD2DC9">
        <w:rPr>
          <w:rFonts w:ascii="Calibri" w:hAnsi="Calibri"/>
          <w:i/>
          <w:color w:val="000000" w:themeColor="text1"/>
        </w:rPr>
        <w:t xml:space="preserve"> MGR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EC5B1E">
        <w:rPr>
          <w:rFonts w:ascii="Calibri" w:hAnsi="Calibri"/>
          <w:i/>
          <w:color w:val="000000" w:themeColor="text1"/>
        </w:rPr>
        <w:t>UTILITY &amp; ETP</w:t>
      </w:r>
    </w:p>
    <w:p w14:paraId="3099162A" w14:textId="3C46438A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FD2DC9">
        <w:rPr>
          <w:i/>
          <w:color w:val="000000" w:themeColor="text1"/>
        </w:rPr>
        <w:t xml:space="preserve"> DAHEJ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7BF4226B" w14:textId="6112765E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8459BD">
        <w:rPr>
          <w:rFonts w:ascii="Calibri" w:hAnsi="Calibri"/>
          <w:i/>
          <w:color w:val="000000" w:themeColor="text1"/>
        </w:rPr>
        <w:t xml:space="preserve">SECTIONAL HEAD </w:t>
      </w:r>
      <w:r w:rsidR="00A2410A">
        <w:rPr>
          <w:rFonts w:ascii="Calibri" w:hAnsi="Calibri"/>
          <w:i/>
          <w:color w:val="000000" w:themeColor="text1"/>
        </w:rPr>
        <w:t>–</w:t>
      </w:r>
      <w:r w:rsidR="008459BD">
        <w:rPr>
          <w:rFonts w:ascii="Calibri" w:hAnsi="Calibri"/>
          <w:i/>
          <w:color w:val="000000" w:themeColor="text1"/>
        </w:rPr>
        <w:t xml:space="preserve"> </w:t>
      </w:r>
      <w:r w:rsidR="00EC5B1E">
        <w:rPr>
          <w:rFonts w:ascii="Calibri" w:hAnsi="Calibri"/>
          <w:i/>
          <w:color w:val="000000" w:themeColor="text1"/>
        </w:rPr>
        <w:t>UTILITY &amp; ETP</w:t>
      </w:r>
    </w:p>
    <w:p w14:paraId="5FD968EB" w14:textId="4345E1BE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8459BD">
        <w:rPr>
          <w:b/>
          <w:color w:val="000000" w:themeColor="text1"/>
        </w:rPr>
        <w:t xml:space="preserve">Sectional Head </w:t>
      </w:r>
      <w:r w:rsidR="00EC5B1E">
        <w:rPr>
          <w:b/>
          <w:color w:val="000000" w:themeColor="text1"/>
        </w:rPr>
        <w:t>Utility &amp; ETP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8459BD" w:rsidRPr="000F07A1" w14:paraId="7E14BB88" w14:textId="77777777" w:rsidTr="008459BD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8459BD" w:rsidRPr="002340C3" w:rsidRDefault="008459BD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8459BD" w:rsidRPr="002340C3" w:rsidRDefault="008459BD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8459BD" w:rsidRPr="002340C3" w:rsidRDefault="008459BD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8459BD" w:rsidRPr="002340C3" w:rsidRDefault="008459BD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EC5B1E" w:rsidRPr="009604B9" w14:paraId="1DF683D8" w14:textId="77777777" w:rsidTr="003A5F5D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7ECBF1C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Planning of utility Operations - Planning to make available, resources to meet budgeted production targets. </w:t>
            </w:r>
          </w:p>
          <w:p w14:paraId="606C748E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Planning of shutdowns of utilities as per statutory and process requirements. </w:t>
            </w:r>
          </w:p>
          <w:p w14:paraId="3BC04E31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Coordination with inter-departmental team of engineers/Shift In-charges for planning o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f activities in major shutdown, p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reventive Plant Maintenance Planning in advance. </w:t>
            </w:r>
          </w:p>
          <w:p w14:paraId="5B848923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Maximize daily capacity utilization. Optimizing plant parameters to achieve budgeted Specific Consumption targets. Increase plant &amp; machinery up time. Fulfilment of SLA with all internal customers. PMs follow up. </w:t>
            </w:r>
          </w:p>
          <w:p w14:paraId="068DEDAB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Ensure all plant failures are </w:t>
            </w:r>
            <w:proofErr w:type="spell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analyzed</w:t>
            </w:r>
            <w:proofErr w:type="spell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/ CAPA implementation. Upkeep of plant SOPs and updating. Responding to plant problems all the time. i.e.  24 x 7 days. </w:t>
            </w:r>
          </w:p>
          <w:p w14:paraId="0DE36675" w14:textId="77777777" w:rsidR="00EC5B1E" w:rsidRPr="006D67F4" w:rsidRDefault="00EC5B1E" w:rsidP="00EC5B1E">
            <w:pPr>
              <w:pStyle w:val="ListParagraph"/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</w:p>
          <w:p w14:paraId="67DE45DB" w14:textId="77777777" w:rsidR="00EC5B1E" w:rsidRDefault="00EC5B1E" w:rsidP="00EC5B1E">
            <w:pPr>
              <w:pStyle w:val="ListParagraph"/>
              <w:numPr>
                <w:ilvl w:val="0"/>
                <w:numId w:val="30"/>
              </w:numPr>
              <w:tabs>
                <w:tab w:val="center" w:pos="4320"/>
                <w:tab w:val="right" w:pos="8640"/>
              </w:tabs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lastRenderedPageBreak/>
              <w:t xml:space="preserve">Management System and Legal compliance - Effective Implementation of EHS, EMS, IMS and PSM </w:t>
            </w:r>
            <w:proofErr w:type="gram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and  SAP</w:t>
            </w:r>
            <w:proofErr w:type="gram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systems. </w:t>
            </w:r>
          </w:p>
          <w:p w14:paraId="552ADAF8" w14:textId="77777777" w:rsidR="00EC5B1E" w:rsidRPr="00CB51A1" w:rsidRDefault="00EC5B1E" w:rsidP="00EC5B1E">
            <w:pPr>
              <w:pStyle w:val="ListParagrap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</w:p>
          <w:p w14:paraId="681F31F6" w14:textId="2031B81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tabs>
                <w:tab w:val="center" w:pos="4320"/>
                <w:tab w:val="right" w:pos="8640"/>
              </w:tabs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Monitoring effluent quality and effective corrective measures in case of deviations. Ensure implementation of aspect / Impact / IER-HIRA for each departmental activity. Liai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oning with IBR authorities on the behalf of the organization. To adhere to the norms for consent to operate. Business &amp; Process improvement drives - Motivation of team for energy savings / </w:t>
            </w:r>
            <w:proofErr w:type="spell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Mfg</w:t>
            </w:r>
            <w:proofErr w:type="spell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cost reduction drives. Generation of improvement schemes for productivity, energy conservation. And its Implementation as and when taken up by management. Plant retrofits and revamps implementation. Coordination with external vendors/contractors</w:t>
            </w:r>
          </w:p>
          <w:p w14:paraId="0FCC8A5B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Employee and Team Culture Development Strategy </w:t>
            </w:r>
            <w:proofErr w:type="gram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-  Identification</w:t>
            </w:r>
            <w:proofErr w:type="gram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of training needs and growth plans of the dept employees. Accordingly, arrangement of </w:t>
            </w:r>
            <w:proofErr w:type="gram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class room</w:t>
            </w:r>
            <w:proofErr w:type="gram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and on job training for dept employees</w:t>
            </w:r>
          </w:p>
          <w:p w14:paraId="7C6B5DF1" w14:textId="34E46C52" w:rsidR="00EC5B1E" w:rsidRPr="008459BD" w:rsidRDefault="00EC5B1E" w:rsidP="00EC5B1E">
            <w:pPr>
              <w:pStyle w:val="ListParagraph"/>
              <w:ind w:left="1080"/>
              <w:rPr>
                <w:rFonts w:ascii="Calibri" w:hAnsi="Calibri" w:cs="Arial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             </w:t>
            </w:r>
          </w:p>
        </w:tc>
        <w:tc>
          <w:tcPr>
            <w:tcW w:w="5273" w:type="dxa"/>
            <w:tcBorders>
              <w:top w:val="nil"/>
            </w:tcBorders>
          </w:tcPr>
          <w:p w14:paraId="3BE86C58" w14:textId="41D38F83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lastRenderedPageBreak/>
              <w:t>To minimize down time production plant due to Utility services / operations</w:t>
            </w:r>
          </w:p>
          <w:p w14:paraId="5E914D73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Making available all utilities as and when required by production dept. </w:t>
            </w:r>
          </w:p>
          <w:p w14:paraId="07551AAF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No utility contingency</w:t>
            </w:r>
          </w:p>
          <w:p w14:paraId="66ED603F" w14:textId="6C35686F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Provision of Uninterrupted and consistent services of Power &amp; Utilities to entire complex with reliability</w:t>
            </w:r>
          </w:p>
          <w:p w14:paraId="3B924553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Achievement of Budgeted production of utilities and Specific consumption figures.</w:t>
            </w:r>
          </w:p>
          <w:p w14:paraId="757A6554" w14:textId="57F44DFA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Improvemen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t in the cost effectiveness of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utility production/Reduction in production cost of utilities</w:t>
            </w:r>
          </w:p>
          <w:p w14:paraId="738E4218" w14:textId="52606023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Process and Maintenance PMS Schedules adherence.</w:t>
            </w:r>
          </w:p>
          <w:p w14:paraId="338A9937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No Internal Customer complaints.</w:t>
            </w:r>
          </w:p>
          <w:p w14:paraId="6724AE9E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SLA compliance / score</w:t>
            </w:r>
          </w:p>
          <w:p w14:paraId="054BC2DC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No deviation in environment compliance, No fire incidences / major and /or minor injuries i.e. zero accidents.</w:t>
            </w:r>
          </w:p>
          <w:p w14:paraId="467F3522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Compliance t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o legal/statutory requirements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and management systems requirements.</w:t>
            </w:r>
          </w:p>
          <w:p w14:paraId="19263092" w14:textId="166B3EC4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lastRenderedPageBreak/>
              <w:t xml:space="preserve">Carry out Audit reviews, no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repetition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of audit points and thereby system score improvement</w:t>
            </w:r>
          </w:p>
          <w:p w14:paraId="692214FF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Suggestions of Improvement schemes</w:t>
            </w:r>
          </w:p>
          <w:p w14:paraId="5B8C712C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Implementation of stretch projects and energy saving schemes</w:t>
            </w:r>
          </w:p>
          <w:p w14:paraId="35DE8C76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Daily &amp; Monthly planning of the Natural Gas requirement.</w:t>
            </w:r>
          </w:p>
          <w:p w14:paraId="35BF5ECA" w14:textId="44AFD35F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Implementation and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Sustenance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of new initiatives in organization </w:t>
            </w:r>
          </w:p>
          <w:p w14:paraId="09A42FA5" w14:textId="77777777" w:rsidR="00EC5B1E" w:rsidRPr="006D67F4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Management of steam power distribution system for entire complex in various operating scenarios</w:t>
            </w:r>
          </w:p>
          <w:p w14:paraId="2844BFC0" w14:textId="77777777" w:rsidR="00EC5B1E" w:rsidRP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="Calibri" w:hAnsi="Calibri" w:cs="Calibri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Availability of Skilled manpower.</w:t>
            </w:r>
          </w:p>
          <w:p w14:paraId="3DFFEB66" w14:textId="03AD3E89" w:rsidR="00EC5B1E" w:rsidRPr="00DA5425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jc w:val="both"/>
              <w:rPr>
                <w:rFonts w:ascii="Calibri" w:hAnsi="Calibri" w:cs="Calibri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Safety compliance from new, junior and contract workm</w:t>
            </w:r>
            <w:r w:rsidRPr="00C2365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C5B1E" w:rsidRPr="002340C3" w14:paraId="20334AB7" w14:textId="77777777" w:rsidTr="008459BD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77777777" w:rsidR="00EC5B1E" w:rsidRPr="006E11F4" w:rsidRDefault="00EC5B1E" w:rsidP="00EC5B1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EC5B1E" w:rsidRPr="006E11F4" w:rsidRDefault="00EC5B1E" w:rsidP="00EC5B1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EC5B1E" w:rsidRPr="002340C3" w14:paraId="581FE731" w14:textId="77777777" w:rsidTr="008459BD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70CE9592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BE / B.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  <w:proofErr w:type="gramStart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Tech  in</w:t>
            </w:r>
            <w:proofErr w:type="gramEnd"/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echanical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. </w:t>
            </w:r>
          </w:p>
          <w:p w14:paraId="1C1D17CC" w14:textId="77777777" w:rsidR="00EC5B1E" w:rsidRPr="00EC5B1E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="Calibri" w:hAnsi="Calibri"/>
                <w:b/>
                <w:i/>
                <w:color w:val="000000" w:themeColor="text1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Boiler proficiency certification (BOE)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</w:p>
          <w:p w14:paraId="49D2BF57" w14:textId="1FFBDB69" w:rsidR="00EC5B1E" w:rsidRPr="006E11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="Calibri" w:hAnsi="Calibri"/>
                <w:b/>
                <w:i/>
                <w:color w:val="000000" w:themeColor="text1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Certified Energy Manager</w:t>
            </w:r>
          </w:p>
        </w:tc>
        <w:tc>
          <w:tcPr>
            <w:tcW w:w="5273" w:type="dxa"/>
            <w:shd w:val="clear" w:color="auto" w:fill="FFFFFF" w:themeFill="background1"/>
          </w:tcPr>
          <w:p w14:paraId="35033BF5" w14:textId="61A8124C" w:rsidR="00EC5B1E" w:rsidRDefault="00EC5B1E" w:rsidP="00EC5B1E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bCs/>
                <w:color w:val="000080"/>
              </w:rPr>
              <w:t xml:space="preserve">10-15 </w:t>
            </w:r>
            <w:r w:rsidRPr="006D67F4">
              <w:rPr>
                <w:bCs/>
                <w:color w:val="000080"/>
              </w:rPr>
              <w:t xml:space="preserve">years of experience in operations and maintenance of Boilers, Steam &amp; gas turbines, captive power plant, DM plant, cooling water &amp; instrument air </w:t>
            </w:r>
            <w:proofErr w:type="gramStart"/>
            <w:r w:rsidRPr="006D67F4">
              <w:rPr>
                <w:bCs/>
                <w:color w:val="000080"/>
              </w:rPr>
              <w:t xml:space="preserve">system </w:t>
            </w:r>
            <w:r>
              <w:rPr>
                <w:bCs/>
                <w:color w:val="000080"/>
              </w:rPr>
              <w:t>,</w:t>
            </w:r>
            <w:proofErr w:type="gramEnd"/>
            <w:r>
              <w:rPr>
                <w:bCs/>
                <w:color w:val="000080"/>
              </w:rPr>
              <w:t xml:space="preserve"> ETP </w:t>
            </w:r>
            <w:r w:rsidRPr="006D67F4">
              <w:rPr>
                <w:bCs/>
                <w:color w:val="000080"/>
              </w:rPr>
              <w:t xml:space="preserve">etc  of continuous process plant with more than 6 </w:t>
            </w:r>
            <w:proofErr w:type="spellStart"/>
            <w:r w:rsidRPr="006D67F4">
              <w:rPr>
                <w:bCs/>
                <w:color w:val="000080"/>
              </w:rPr>
              <w:t>years experience</w:t>
            </w:r>
            <w:proofErr w:type="spellEnd"/>
            <w:r>
              <w:rPr>
                <w:bCs/>
                <w:color w:val="000080"/>
              </w:rPr>
              <w:t xml:space="preserve"> in leadership role </w:t>
            </w:r>
            <w:r w:rsidRPr="006D67F4">
              <w:rPr>
                <w:bCs/>
                <w:color w:val="000080"/>
              </w:rPr>
              <w:t xml:space="preserve"> in similar plant</w:t>
            </w:r>
          </w:p>
        </w:tc>
      </w:tr>
      <w:tr w:rsidR="00EC5B1E" w:rsidRPr="00295637" w14:paraId="0880CF71" w14:textId="217DCD5E" w:rsidTr="008459B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77777777" w:rsidR="00EC5B1E" w:rsidRPr="00295637" w:rsidRDefault="00EC5B1E" w:rsidP="00EC5B1E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EC5B1E" w:rsidRPr="00295637" w14:paraId="46C4B4B0" w14:textId="77777777" w:rsidTr="008459B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C143D8C" w14:textId="1A5DFB10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Thorough Technical Knowledge on operations of high pr. boilers, steam and gas turbines,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cooling tower,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ETP,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DM plant/ compressors etc </w:t>
            </w:r>
          </w:p>
          <w:p w14:paraId="3F89FE86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Knowledge of environment, safety and occupational health hazards related to plant operations </w:t>
            </w:r>
          </w:p>
          <w:p w14:paraId="2BF62C47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Technical knowledge on G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PCB norms for ETP discharges and emissions from boilers.</w:t>
            </w:r>
          </w:p>
          <w:p w14:paraId="1E0D7237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Knowledge of MIS and SAP system</w:t>
            </w:r>
          </w:p>
          <w:p w14:paraId="04E37A55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Understanding of quality control tools and techniques</w:t>
            </w:r>
          </w:p>
          <w:p w14:paraId="25D8B3E5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Presentation skills.</w:t>
            </w:r>
          </w:p>
          <w:p w14:paraId="057A27B2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Computer literacy.</w:t>
            </w:r>
          </w:p>
          <w:p w14:paraId="1DB869EF" w14:textId="2E700434" w:rsidR="00EC5B1E" w:rsidRPr="00E44E47" w:rsidRDefault="00EC5B1E" w:rsidP="00EC5B1E">
            <w:pPr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jc w:val="both"/>
              <w:rPr>
                <w:rFonts w:eastAsia="Helvetica"/>
                <w:color w:val="000080"/>
              </w:rPr>
            </w:pPr>
            <w:r w:rsidRPr="006D67F4">
              <w:rPr>
                <w:bCs/>
                <w:color w:val="000080"/>
              </w:rPr>
              <w:t>Trouble shooting skills EHS Norms &amp; it's impact on Business.</w:t>
            </w:r>
          </w:p>
        </w:tc>
      </w:tr>
      <w:tr w:rsidR="00EC5B1E" w:rsidRPr="00295637" w14:paraId="74F2BE1D" w14:textId="77777777" w:rsidTr="008459B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E1B39C6" w14:textId="77777777" w:rsidR="00EC5B1E" w:rsidRDefault="00EC5B1E" w:rsidP="00EC5B1E">
            <w:pPr>
              <w:rPr>
                <w:b/>
                <w:i/>
              </w:rPr>
            </w:pPr>
            <w:r w:rsidRPr="004205EE">
              <w:rPr>
                <w:b/>
              </w:rPr>
              <w:lastRenderedPageBreak/>
              <w:t>Behavioural Competencies</w:t>
            </w:r>
            <w:r>
              <w:rPr>
                <w:b/>
              </w:rPr>
              <w:t xml:space="preserve"> </w:t>
            </w:r>
            <w:r w:rsidRPr="004C49B8">
              <w:rPr>
                <w:b/>
                <w:i/>
              </w:rPr>
              <w:t>(List only 3- 5 specific behavioural competencies)</w:t>
            </w:r>
          </w:p>
          <w:p w14:paraId="5368C24C" w14:textId="3584464F" w:rsidR="00EC5B1E" w:rsidRPr="00E44E47" w:rsidRDefault="00EC5B1E" w:rsidP="00EC5B1E">
            <w:pPr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731" w:hanging="425"/>
              <w:jc w:val="both"/>
              <w:rPr>
                <w:rFonts w:eastAsia="Helvetica"/>
                <w:color w:val="000080"/>
              </w:rPr>
            </w:pPr>
            <w:r w:rsidRPr="00130313">
              <w:rPr>
                <w:i/>
                <w:sz w:val="18"/>
              </w:rPr>
              <w:t>State behavioural competencies required to function effectively at this position</w:t>
            </w:r>
          </w:p>
        </w:tc>
      </w:tr>
      <w:tr w:rsidR="00EC5B1E" w:rsidRPr="00295637" w14:paraId="78FDB3CE" w14:textId="77777777" w:rsidTr="008459B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6DCBCEFD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Good communication skill</w:t>
            </w:r>
          </w:p>
          <w:p w14:paraId="3ED0B76C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Leadership capability</w:t>
            </w:r>
          </w:p>
          <w:p w14:paraId="68197948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Convincing skills.</w:t>
            </w:r>
          </w:p>
          <w:p w14:paraId="344EB133" w14:textId="07913A00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Analytical thinking and 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problem-solving</w:t>
            </w: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ability</w:t>
            </w:r>
          </w:p>
          <w:p w14:paraId="49F0B689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Strategic Thinking</w:t>
            </w:r>
          </w:p>
          <w:p w14:paraId="32978AC6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Business acumen and corporate responsibility.</w:t>
            </w:r>
          </w:p>
          <w:p w14:paraId="7AB3A212" w14:textId="77777777" w:rsidR="00EC5B1E" w:rsidRPr="006D67F4" w:rsidRDefault="00EC5B1E" w:rsidP="00EC5B1E">
            <w:pPr>
              <w:pStyle w:val="ListParagraph"/>
              <w:numPr>
                <w:ilvl w:val="0"/>
                <w:numId w:val="33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6D67F4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Cost Consciousness</w:t>
            </w:r>
          </w:p>
          <w:p w14:paraId="31432C0D" w14:textId="585D8C11" w:rsidR="00EC5B1E" w:rsidRPr="00E44E47" w:rsidRDefault="00EC5B1E" w:rsidP="00EC5B1E">
            <w:pPr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jc w:val="both"/>
              <w:rPr>
                <w:rFonts w:eastAsia="Helvetica"/>
                <w:color w:val="000080"/>
              </w:rPr>
            </w:pPr>
            <w:r w:rsidRPr="006D67F4">
              <w:rPr>
                <w:bCs/>
                <w:color w:val="000080"/>
              </w:rPr>
              <w:t xml:space="preserve"> Timely decision making.</w:t>
            </w:r>
          </w:p>
        </w:tc>
      </w:tr>
      <w:tr w:rsidR="00EC5B1E" w:rsidRPr="00295637" w14:paraId="38EF2B05" w14:textId="77777777" w:rsidTr="008459B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F7E5AC8" w14:textId="77777777" w:rsidR="00EC5B1E" w:rsidRDefault="00EC5B1E" w:rsidP="00EC5B1E">
            <w:pPr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  <w:p w14:paraId="3750FC63" w14:textId="6FC3B3BF" w:rsidR="00EC5B1E" w:rsidRPr="00EC5B1E" w:rsidRDefault="00EC5B1E" w:rsidP="00EC5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sz w:val="18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</w:tc>
      </w:tr>
      <w:tr w:rsidR="00EC5B1E" w:rsidRPr="00295637" w14:paraId="692BD3B7" w14:textId="77777777" w:rsidTr="008459B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A7A562D" w14:textId="77777777" w:rsidR="00EC5B1E" w:rsidRPr="005523A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Leader</w:t>
            </w:r>
          </w:p>
          <w:p w14:paraId="41D1F8C8" w14:textId="77777777" w:rsidR="00EC5B1E" w:rsidRP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rPr>
                <w:b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Planner</w:t>
            </w:r>
          </w:p>
          <w:p w14:paraId="514F458B" w14:textId="7AD112FA" w:rsidR="00EC5B1E" w:rsidRDefault="00EC5B1E" w:rsidP="00EC5B1E">
            <w:pPr>
              <w:pStyle w:val="ListParagraph"/>
              <w:numPr>
                <w:ilvl w:val="0"/>
                <w:numId w:val="30"/>
              </w:numPr>
              <w:snapToGrid w:val="0"/>
              <w:rPr>
                <w:b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Calm</w:t>
            </w:r>
          </w:p>
        </w:tc>
      </w:tr>
    </w:tbl>
    <w:p w14:paraId="015E966E" w14:textId="77777777" w:rsidR="00E50551" w:rsidRPr="00E50551" w:rsidRDefault="00E50551" w:rsidP="00D21BCD">
      <w:pPr>
        <w:jc w:val="center"/>
        <w:rPr>
          <w:color w:val="000000" w:themeColor="text1"/>
        </w:rPr>
      </w:pPr>
      <w:bookmarkStart w:id="0" w:name="_GoBack"/>
      <w:bookmarkEnd w:id="0"/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63B4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2D46D985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EAE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799C53BF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D4533"/>
    <w:multiLevelType w:val="hybridMultilevel"/>
    <w:tmpl w:val="E386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3A38"/>
    <w:multiLevelType w:val="hybridMultilevel"/>
    <w:tmpl w:val="66566F1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501B9"/>
    <w:multiLevelType w:val="hybridMultilevel"/>
    <w:tmpl w:val="A1A00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05CA"/>
    <w:multiLevelType w:val="hybridMultilevel"/>
    <w:tmpl w:val="8124AA7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610E2C7F"/>
    <w:multiLevelType w:val="hybridMultilevel"/>
    <w:tmpl w:val="9B72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14951"/>
    <w:multiLevelType w:val="hybridMultilevel"/>
    <w:tmpl w:val="E4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11"/>
  </w:num>
  <w:num w:numId="5">
    <w:abstractNumId w:val="10"/>
  </w:num>
  <w:num w:numId="6">
    <w:abstractNumId w:val="30"/>
  </w:num>
  <w:num w:numId="7">
    <w:abstractNumId w:val="25"/>
  </w:num>
  <w:num w:numId="8">
    <w:abstractNumId w:val="20"/>
  </w:num>
  <w:num w:numId="9">
    <w:abstractNumId w:val="16"/>
  </w:num>
  <w:num w:numId="10">
    <w:abstractNumId w:val="32"/>
  </w:num>
  <w:num w:numId="11">
    <w:abstractNumId w:val="19"/>
  </w:num>
  <w:num w:numId="12">
    <w:abstractNumId w:val="21"/>
  </w:num>
  <w:num w:numId="13">
    <w:abstractNumId w:val="17"/>
  </w:num>
  <w:num w:numId="14">
    <w:abstractNumId w:val="1"/>
  </w:num>
  <w:num w:numId="15">
    <w:abstractNumId w:val="3"/>
  </w:num>
  <w:num w:numId="16">
    <w:abstractNumId w:val="12"/>
  </w:num>
  <w:num w:numId="17">
    <w:abstractNumId w:val="18"/>
  </w:num>
  <w:num w:numId="18">
    <w:abstractNumId w:val="8"/>
  </w:num>
  <w:num w:numId="19">
    <w:abstractNumId w:val="29"/>
  </w:num>
  <w:num w:numId="20">
    <w:abstractNumId w:val="2"/>
  </w:num>
  <w:num w:numId="21">
    <w:abstractNumId w:val="15"/>
  </w:num>
  <w:num w:numId="22">
    <w:abstractNumId w:val="24"/>
  </w:num>
  <w:num w:numId="23">
    <w:abstractNumId w:val="5"/>
  </w:num>
  <w:num w:numId="24">
    <w:abstractNumId w:val="28"/>
  </w:num>
  <w:num w:numId="25">
    <w:abstractNumId w:val="7"/>
  </w:num>
  <w:num w:numId="26">
    <w:abstractNumId w:val="27"/>
  </w:num>
  <w:num w:numId="27">
    <w:abstractNumId w:val="6"/>
  </w:num>
  <w:num w:numId="28">
    <w:abstractNumId w:val="22"/>
  </w:num>
  <w:num w:numId="29">
    <w:abstractNumId w:val="13"/>
  </w:num>
  <w:num w:numId="30">
    <w:abstractNumId w:val="4"/>
  </w:num>
  <w:num w:numId="31">
    <w:abstractNumId w:val="0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1C7DCC"/>
    <w:rsid w:val="00231CCF"/>
    <w:rsid w:val="002540F0"/>
    <w:rsid w:val="002A0C1F"/>
    <w:rsid w:val="002E705B"/>
    <w:rsid w:val="00397FF5"/>
    <w:rsid w:val="003A40DF"/>
    <w:rsid w:val="003A50F1"/>
    <w:rsid w:val="00426DB9"/>
    <w:rsid w:val="00446E9E"/>
    <w:rsid w:val="004645F9"/>
    <w:rsid w:val="00476715"/>
    <w:rsid w:val="0052050C"/>
    <w:rsid w:val="0054711F"/>
    <w:rsid w:val="005F63B5"/>
    <w:rsid w:val="00623610"/>
    <w:rsid w:val="006967B3"/>
    <w:rsid w:val="006E11F4"/>
    <w:rsid w:val="007504DB"/>
    <w:rsid w:val="008459BD"/>
    <w:rsid w:val="008708EF"/>
    <w:rsid w:val="008F45B7"/>
    <w:rsid w:val="00973FA3"/>
    <w:rsid w:val="009E3EF1"/>
    <w:rsid w:val="00A12EE7"/>
    <w:rsid w:val="00A2410A"/>
    <w:rsid w:val="00AE2566"/>
    <w:rsid w:val="00B550BE"/>
    <w:rsid w:val="00B64154"/>
    <w:rsid w:val="00B96A64"/>
    <w:rsid w:val="00BF6C75"/>
    <w:rsid w:val="00C23CBB"/>
    <w:rsid w:val="00C31807"/>
    <w:rsid w:val="00C40539"/>
    <w:rsid w:val="00CA5960"/>
    <w:rsid w:val="00D21BCD"/>
    <w:rsid w:val="00E50551"/>
    <w:rsid w:val="00E539FC"/>
    <w:rsid w:val="00E6691A"/>
    <w:rsid w:val="00EC5B1E"/>
    <w:rsid w:val="00F03011"/>
    <w:rsid w:val="00F35C92"/>
    <w:rsid w:val="00F60033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  <w:style w:type="paragraph" w:customStyle="1" w:styleId="TableContents">
    <w:name w:val="Table Contents"/>
    <w:basedOn w:val="Normal"/>
    <w:rsid w:val="00A241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Manish Rathod</cp:lastModifiedBy>
  <cp:revision>3</cp:revision>
  <cp:lastPrinted>2019-05-24T09:32:00Z</cp:lastPrinted>
  <dcterms:created xsi:type="dcterms:W3CDTF">2019-07-15T06:04:00Z</dcterms:created>
  <dcterms:modified xsi:type="dcterms:W3CDTF">2019-07-15T06:11:00Z</dcterms:modified>
</cp:coreProperties>
</file>